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91"/>
        <w:tblW w:w="0" w:type="auto"/>
        <w:tblInd w:w="5240" w:type="dxa"/>
        <w:tblLook w:val="04A0" w:firstRow="1" w:lastRow="0" w:firstColumn="1" w:lastColumn="0" w:noHBand="0" w:noVBand="1"/>
      </w:tblPr>
      <w:tblGrid>
        <w:gridCol w:w="49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21 октября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Государственный геологический музей им. В.И. Вернадского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Москва, ул. Моховая,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д.11 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стр.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О Т О К О 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Федеральном агентстве по </w:t>
      </w:r>
      <w:r>
        <w:rPr>
          <w:rFonts w:ascii="Times New Roman" w:hAnsi="Times New Roman" w:cs="Times New Roman"/>
          <w:sz w:val="28"/>
          <w:szCs w:val="28"/>
        </w:rPr>
        <w:t xml:space="preserve">недропользованию (Роснедрах)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953"/>
      </w:tblGrid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Председатель Общественного совета при Роснедрах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М.Ю. Токарев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Заместитель Председателя Общественного совета при Роснедрах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jc w:val="both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Д.Д. Агапитов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Руководитель Федерального агентства по недропользованию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Е.И. Петров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Заместитель Руководителя Федерального агентства по недропользованию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Д.Н. Данилин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Члены Общественного совета при Федеральном агентстве по недропользованию: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Грызунова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; М.В.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Довгялло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 (ВКС);  С.Б.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Исайченков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 (ВКС); В.Ю. Керимов; А.А. Коваленко; С.В.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Микушев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; П.С. Морозов (ВКС); В.Г. Нестеренко; В.В.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Половков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; А.В. Пинчук (ВКС); В.Н. Подопригора; М.В. Слипенчук; Н.Р. Соколова; М.И. Сердюк (ВКС); Н.Ю. Сорокина; Е.В. Спиридонова; Л.И. Твердохлебов; С.В. Черкасов; А.В.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Федаш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; А.И. Шеметов (ВКС).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i/>
                <w:iCs/>
                <w:sz w:val="28"/>
                <w:szCs w:val="28"/>
              </w:rPr>
              <w:t xml:space="preserve">Приглашенные: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Д.Б. Аракчеев (ФГБ «Росгеолфонд»; Е.М. 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Юон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 (ФГБУ «Росгеолфонд»); А.А. Фатеева (ФГБУ «ВИМС»); Д.А. Коротеев (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Сколтех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); И.И. Ефремов (ООО «ГРИДПОИНТ ДАЙНАМИКС»).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членов Общественного совета при Роснедрах – </w:t>
      </w:r>
      <w:r>
        <w:rPr>
          <w:rFonts w:ascii="Times New Roman" w:hAnsi="Times New Roman" w:cs="Times New Roman"/>
          <w:i/>
          <w:sz w:val="28"/>
          <w:szCs w:val="28"/>
        </w:rPr>
        <w:t xml:space="preserve">24.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присутствующих на заседании членов Общественного совета при Роснедрах – 22</w:t>
      </w:r>
      <w:r>
        <w:rPr>
          <w:rFonts w:ascii="Times New Roman" w:hAnsi="Times New Roman" w:cs="Times New Roman"/>
          <w:i/>
          <w:sz w:val="28"/>
          <w:szCs w:val="28"/>
        </w:rPr>
        <w:t xml:space="preserve"> (в т.ч. 6 - посредством ВКС).</w:t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Кворум для проведения заседания имеется.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Повестка дня: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Цифровой трансформации деятельности Роснедр. Текущее состояние и планы на 2025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(докладчики – Генеральный директор ФГБУ «Росгеолфонд» заместитель Генерального директора по информационным технологиям и информационной безопасности ФГБУ «Росгеолфонд», заведующая Отделом баз данных и обработки информации ФГБУ «ВИМС» А.А. Фатеева).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 перспективных направлениях развития технологий искусственного интеллекта в геологоразведке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(докладчики – заместитель Председателя Общественного совета при Роснедрах Д.Д. Агапитов, главный научный сотрудник, профессор   Центра    науки    и   технологий добычи   углеводородов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Сколтеха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Д.А. Коротеев, Генеральный директор ООО «ГРИДПОИНТ ДАЙНАМИКС» И.И. Ефремов).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Разное.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Цифровой трансформации деятельности Роснедр.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Текущее состояние и планы на 2025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выступления Генерального директора ФГБУ «Росгеолфонд» Д.Б. Аракчеева и заместителя Генерального директора по информационным технологиям и информационной безопасности ФГБУ «Росгеолфонд» Е.М. </w:t>
      </w:r>
      <w:r>
        <w:rPr>
          <w:rFonts w:ascii="Times New Roman" w:hAnsi="Times New Roman" w:cs="Times New Roman"/>
          <w:sz w:val="28"/>
          <w:szCs w:val="28"/>
        </w:rPr>
        <w:t xml:space="preserve">Юона</w:t>
      </w:r>
      <w:r>
        <w:rPr>
          <w:rFonts w:ascii="Times New Roman" w:hAnsi="Times New Roman" w:cs="Times New Roman"/>
          <w:sz w:val="28"/>
          <w:szCs w:val="28"/>
        </w:rPr>
        <w:t xml:space="preserve"> о проводимой ФГБУ «Росгеолфонд» с 2022 года работе в рамках пору</w:t>
      </w:r>
      <w:r>
        <w:rPr>
          <w:rFonts w:ascii="Times New Roman" w:hAnsi="Times New Roman" w:cs="Times New Roman"/>
          <w:sz w:val="28"/>
          <w:szCs w:val="28"/>
        </w:rPr>
        <w:t xml:space="preserve">чения Федерального агентства по недропользованию о системном построении цифровой экосистемы России, основанной на цифровом обороте формализованных документов, касающихся управления фондом недр и планах развития данного направления деятельности на 2025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sz w:val="28"/>
          <w:szCs w:val="28"/>
        </w:rPr>
        <w:t xml:space="preserve"> за принятие следующего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представленную в рамках вышеуказанных выступлений информацию.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мероприятия ФГБУ «Росгеолфонд», запланированные на 2025 год в развитие поставленных задач в рамках системного построения цифровой экосистемы России в части полномочий Роснедр.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перспективных направлениях развития технологий искусственного интеллекта в геологоразведке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выступление заместителя Председателя Общественного совета при Роснедрах Д.Д. Агапитова</w:t>
      </w:r>
      <w:r>
        <w:rPr>
          <w:rFonts w:ascii="Times New Roman" w:hAnsi="Times New Roman" w:cs="Times New Roman"/>
          <w:sz w:val="28"/>
          <w:szCs w:val="28"/>
        </w:rPr>
        <w:t xml:space="preserve"> «О перспективных направлениях развития технологий искусственного интеллекта в геологоразведке».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Заслушали выступления главного научного сотрудника Центра науки и технологий добычи углеводородов </w:t>
      </w:r>
      <w:r>
        <w:rPr>
          <w:rFonts w:ascii="Times New Roman" w:hAnsi="Times New Roman" w:cs="Times New Roman"/>
          <w:sz w:val="28"/>
          <w:szCs w:val="28"/>
        </w:rPr>
        <w:t xml:space="preserve">Сколтеха</w:t>
      </w:r>
      <w:r>
        <w:rPr>
          <w:rFonts w:ascii="Times New Roman" w:hAnsi="Times New Roman" w:cs="Times New Roman"/>
          <w:sz w:val="28"/>
          <w:szCs w:val="28"/>
        </w:rPr>
        <w:t xml:space="preserve">, профессора Д.А. Коротеева на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«Искусственный интеллект для разведки и разработки </w:t>
      </w:r>
      <w:r>
        <w:rPr>
          <w:rFonts w:ascii="Times New Roman" w:hAnsi="Times New Roman" w:cs="Times New Roman"/>
          <w:sz w:val="28"/>
          <w:szCs w:val="28"/>
        </w:rPr>
        <w:t xml:space="preserve">месторождений полезных</w:t>
      </w:r>
      <w:r>
        <w:rPr>
          <w:rFonts w:ascii="Times New Roman" w:hAnsi="Times New Roman" w:cs="Times New Roman"/>
          <w:sz w:val="28"/>
          <w:szCs w:val="28"/>
        </w:rPr>
        <w:t xml:space="preserve"> ископаемых»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Заслушали выступление Генерального директора ООО «ГРИДПОЙНТ ДАЙНАМИКС» И.И. Ефремова</w:t>
      </w:r>
      <w:r>
        <w:rPr>
          <w:rFonts w:ascii="Times New Roman" w:hAnsi="Times New Roman" w:cs="Times New Roman"/>
          <w:sz w:val="28"/>
          <w:szCs w:val="28"/>
        </w:rPr>
        <w:t xml:space="preserve"> на тему «Применение алгоритмов искусственного интеллекта в сейсморазведке».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1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ГОЛОСОВАЛИ </w:t>
      </w:r>
      <w:r>
        <w:rPr>
          <w:rFonts w:ascii="Times New Roman" w:hAnsi="Times New Roman" w:cs="Times New Roman"/>
          <w:sz w:val="28"/>
          <w:szCs w:val="28"/>
        </w:rPr>
        <w:t xml:space="preserve">за принятие следующих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Поручить профильной Комиссии Общественного совета при Роснедрах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  <w:highlight w:val="none"/>
        </w:rPr>
        <w:t xml:space="preserve">по взаимодействию с общественными организациями и информационной открытости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numPr>
          <w:ilvl w:val="0"/>
          <w:numId w:val="20"/>
        </w:numPr>
        <w:ind w:left="0" w:right="0" w:firstLine="360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экзистенциальную важность разработки современных программных решений для поддержания и развития ресурсной базы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numPr>
          <w:ilvl w:val="0"/>
          <w:numId w:val="20"/>
        </w:numPr>
        <w:ind w:left="0" w:right="0" w:firstLine="360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рабочие встречи с разработчиками специализированного программного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numPr>
          <w:ilvl w:val="0"/>
          <w:numId w:val="20"/>
        </w:numPr>
        <w:ind w:left="0" w:right="0" w:firstLine="360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профильных конференциях, в которых заявлено участие или проходящих под эгидой Роснедр, предусмотреть обязательные тематические сессии или круглые столы, посвящённые проблематике развития программных решений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искусственного интеллекта в геологоразведке, мониторингу экологической обстановки, и изменению климата;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numPr>
          <w:ilvl w:val="0"/>
          <w:numId w:val="20"/>
        </w:numPr>
        <w:ind w:left="0" w:right="0" w:firstLine="360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рекомендации по вариантам или сценариям развития частно-государственного партнёрства для ускорения динамики развития профильных направлений по применению искусственного интеллекта в геологоразведке.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360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360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360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1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40775</wp:posOffset>
                </wp:positionV>
                <wp:extent cx="1365250" cy="824230"/>
                <wp:effectExtent l="0" t="0" r="0" b="0"/>
                <wp:wrapNone/>
                <wp:docPr id="1" name="Рисунок 11" descr="IMG_9190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150718" name="Рисунок 11" descr="IMG_9190 (1)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clrChange>
                            <a:clrFrom>
                              <a:srgbClr val="CDCBCE"/>
                            </a:clrFrom>
                            <a:clrTo>
                              <a:srgbClr val="CDCBCE">
                                <a:alpha val="0"/>
                              </a:srgbClr>
                            </a:clrTo>
                          </a:clrChange>
                        </a:blip>
                        <a:srcRect l="64147" t="26767" r="3069" b="39285"/>
                        <a:stretch/>
                      </pic:blipFill>
                      <pic:spPr bwMode="auto">
                        <a:xfrm rot="0" flipH="0" flipV="0">
                          <a:off x="0" y="0"/>
                          <a:ext cx="1365249" cy="824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08.20pt;mso-position-horizontal:absolute;mso-position-vertical-relative:text;margin-top:3.21pt;mso-position-vertical:absolute;width:107.50pt;height:64.90pt;mso-wrap-distance-left:9.00pt;mso-wrap-distance-top:0.00pt;mso-wrap-distance-right:9.00pt;mso-wrap-distance-bottom:0.00pt;rotation:0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ind w:firstLine="0"/>
        <w:jc w:val="both"/>
        <w:spacing w:after="0" w:line="21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ind w:firstLine="567"/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tab/>
        <w:tab/>
        <w:tab/>
        <w:tab/>
      </w:r>
      <w:r/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М.Ю.Токарев</w:t>
      </w: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jc w:val="both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74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7"/>
  </w:num>
  <w:num w:numId="8">
    <w:abstractNumId w:val="2"/>
  </w:num>
  <w:num w:numId="9">
    <w:abstractNumId w:val="19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  <w:num w:numId="15">
    <w:abstractNumId w:val="4"/>
  </w:num>
  <w:num w:numId="16">
    <w:abstractNumId w:val="14"/>
  </w:num>
  <w:num w:numId="17">
    <w:abstractNumId w:val="18"/>
  </w:num>
  <w:num w:numId="18">
    <w:abstractNumId w:val="13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21"/>
    <w:link w:val="734"/>
    <w:uiPriority w:val="10"/>
    <w:rPr>
      <w:sz w:val="48"/>
      <w:szCs w:val="48"/>
    </w:rPr>
  </w:style>
  <w:style w:type="character" w:styleId="704">
    <w:name w:val="Subtitle Char"/>
    <w:basedOn w:val="721"/>
    <w:link w:val="736"/>
    <w:uiPriority w:val="11"/>
    <w:rPr>
      <w:sz w:val="24"/>
      <w:szCs w:val="24"/>
    </w:rPr>
  </w:style>
  <w:style w:type="character" w:styleId="705">
    <w:name w:val="Quote Char"/>
    <w:link w:val="738"/>
    <w:uiPriority w:val="29"/>
    <w:rPr>
      <w:i/>
    </w:rPr>
  </w:style>
  <w:style w:type="character" w:styleId="706">
    <w:name w:val="Intense Quote Char"/>
    <w:link w:val="740"/>
    <w:uiPriority w:val="30"/>
    <w:rPr>
      <w:i/>
    </w:rPr>
  </w:style>
  <w:style w:type="character" w:styleId="707">
    <w:name w:val="Header Char"/>
    <w:basedOn w:val="721"/>
    <w:link w:val="742"/>
    <w:uiPriority w:val="99"/>
  </w:style>
  <w:style w:type="character" w:styleId="708">
    <w:name w:val="Caption Char"/>
    <w:basedOn w:val="746"/>
    <w:link w:val="744"/>
    <w:uiPriority w:val="99"/>
  </w:style>
  <w:style w:type="character" w:styleId="709">
    <w:name w:val="Footnote Text Char"/>
    <w:link w:val="874"/>
    <w:uiPriority w:val="99"/>
    <w:rPr>
      <w:sz w:val="18"/>
    </w:rPr>
  </w:style>
  <w:style w:type="character" w:styleId="710">
    <w:name w:val="Endnote Text Char"/>
    <w:link w:val="877"/>
    <w:uiPriority w:val="99"/>
    <w:rPr>
      <w:sz w:val="20"/>
    </w:rPr>
  </w:style>
  <w:style w:type="paragraph" w:styleId="711" w:default="1">
    <w:name w:val="Normal"/>
    <w:qFormat/>
  </w:style>
  <w:style w:type="paragraph" w:styleId="712">
    <w:name w:val="Heading 1"/>
    <w:basedOn w:val="711"/>
    <w:next w:val="711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21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after="0" w:line="240" w:lineRule="auto"/>
    </w:pPr>
  </w:style>
  <w:style w:type="paragraph" w:styleId="734">
    <w:name w:val="Title"/>
    <w:basedOn w:val="711"/>
    <w:next w:val="711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21"/>
    <w:link w:val="734"/>
    <w:uiPriority w:val="10"/>
    <w:rPr>
      <w:sz w:val="48"/>
      <w:szCs w:val="48"/>
    </w:rPr>
  </w:style>
  <w:style w:type="paragraph" w:styleId="736">
    <w:name w:val="Subtitle"/>
    <w:basedOn w:val="711"/>
    <w:next w:val="711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21"/>
    <w:link w:val="736"/>
    <w:uiPriority w:val="11"/>
    <w:rPr>
      <w:sz w:val="24"/>
      <w:szCs w:val="24"/>
    </w:rPr>
  </w:style>
  <w:style w:type="paragraph" w:styleId="738">
    <w:name w:val="Quote"/>
    <w:basedOn w:val="711"/>
    <w:next w:val="711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1"/>
    <w:next w:val="711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711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Верхний колонтитул Знак"/>
    <w:basedOn w:val="721"/>
    <w:link w:val="742"/>
    <w:uiPriority w:val="99"/>
  </w:style>
  <w:style w:type="paragraph" w:styleId="744">
    <w:name w:val="Footer"/>
    <w:basedOn w:val="711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Footer Char"/>
    <w:basedOn w:val="721"/>
    <w:uiPriority w:val="99"/>
  </w:style>
  <w:style w:type="paragraph" w:styleId="746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7" w:customStyle="1">
    <w:name w:val="Нижний колонтитул Знак"/>
    <w:link w:val="744"/>
    <w:uiPriority w:val="99"/>
  </w:style>
  <w:style w:type="table" w:styleId="748" w:customStyle="1">
    <w:name w:val="Table Grid Light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9">
    <w:name w:val="Plain Table 1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7" w:customStyle="1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8" w:customStyle="1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9" w:customStyle="1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0" w:customStyle="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1" w:customStyle="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2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1" w:customStyle="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2" w:customStyle="1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3" w:customStyle="1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4" w:customStyle="1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0" w:customStyle="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2" w:customStyle="1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4" w:customStyle="1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5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 &amp; 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Bordered &amp; 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Bordered &amp; 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Bordered &amp; 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Bordered &amp; 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Bordered &amp; 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8" w:customStyle="1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9" w:customStyle="1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0" w:customStyle="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1" w:customStyle="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2" w:customStyle="1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563c1" w:themeColor="hyperlink"/>
      <w:u w:val="single"/>
    </w:rPr>
  </w:style>
  <w:style w:type="paragraph" w:styleId="874">
    <w:name w:val="footnote text"/>
    <w:basedOn w:val="71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21"/>
    <w:uiPriority w:val="99"/>
    <w:unhideWhenUsed/>
    <w:rPr>
      <w:vertAlign w:val="superscript"/>
    </w:rPr>
  </w:style>
  <w:style w:type="paragraph" w:styleId="877">
    <w:name w:val="endnote text"/>
    <w:basedOn w:val="71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21"/>
    <w:uiPriority w:val="99"/>
    <w:semiHidden/>
    <w:unhideWhenUsed/>
    <w:rPr>
      <w:vertAlign w:val="superscript"/>
    </w:rPr>
  </w:style>
  <w:style w:type="paragraph" w:styleId="880">
    <w:name w:val="toc 1"/>
    <w:basedOn w:val="711"/>
    <w:next w:val="711"/>
    <w:uiPriority w:val="39"/>
    <w:unhideWhenUsed/>
    <w:pPr>
      <w:spacing w:after="57"/>
    </w:pPr>
  </w:style>
  <w:style w:type="paragraph" w:styleId="881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82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83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84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85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6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7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88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1"/>
    <w:next w:val="711"/>
    <w:uiPriority w:val="99"/>
    <w:unhideWhenUsed/>
    <w:pPr>
      <w:spacing w:after="0"/>
    </w:pPr>
  </w:style>
  <w:style w:type="table" w:styleId="891">
    <w:name w:val="Table Grid"/>
    <w:basedOn w:val="72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List Paragraph"/>
    <w:basedOn w:val="711"/>
    <w:uiPriority w:val="34"/>
    <w:qFormat/>
    <w:pPr>
      <w:contextualSpacing/>
      <w:ind w:left="720"/>
    </w:pPr>
  </w:style>
  <w:style w:type="paragraph" w:styleId="893">
    <w:name w:val="Balloon Text"/>
    <w:basedOn w:val="711"/>
    <w:link w:val="89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721"/>
    <w:link w:val="89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8B69-7212-4261-BB25-18B9453C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Валуйскова Елена Васильевна</dc:creator>
  <cp:keywords/>
  <dc:description/>
  <cp:revision>4</cp:revision>
  <dcterms:created xsi:type="dcterms:W3CDTF">2021-02-12T08:27:00Z</dcterms:created>
  <dcterms:modified xsi:type="dcterms:W3CDTF">2025-02-27T10:09:37Z</dcterms:modified>
</cp:coreProperties>
</file>